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52.png" ContentType="image/png"/>
  <Override PartName="/word/media/rId55.png" ContentType="image/png"/>
  <Override PartName="/word/media/rId53.png" ContentType="image/png"/>
  <Override PartName="/word/media/rId58.png" ContentType="image/png"/>
  <Override PartName="/word/media/rId57.png" ContentType="image/png"/>
  <Override PartName="/word/media/rId56.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Jul 16 17:23:16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that are typical at a site for the observed level of landscape alteration. A site’s score can be evaluated relative to its expected range using context from the landscape model. This context can support prioritization decisions for stream management, like identifying reaches for restoration or enhanced protection. Median scores for a macroinvertebrate-based index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tool, the Stream Classification and Priority Explorer (SCAPE), that compares observed scores with expectations from the landscape model to assign priorities. Low scores were common in the watershed, particularly in the urbanized lower portions. However, most of these sites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We observed model predictions that were consistent with the clear land use gradient from the upper to lower watershed, where potential limits to achieving biological integrity were more common in the heavily urbanized lower watershed. Interaction with the local stakeholder group was critical in connecting the landscape model with observed data to set management goals appropriate for the region. The availability of geospatial and bioassessment data at the national level suggests that these tools can easily be applied to inform management decisions at other locations where biological indices are used to assess environmental condition.</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in many cases the reference benchmark may not completely describe or account for additional stressors that influence biological integrity at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A bioassessment index may be difficult to incorporate into management if thresholds for biological objectives are difficult to achieve within site-specific settings.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identifying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preventative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Channel modification has been used as a basis for redefining water quality criteria or for re-evaluating use attainability goals. For example, the Los Angeles River (California, USA) is heavily modified as a concrete-lined channel, and water quality standards that apply nationally for recreational uses are suspended under high-flow conditions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Mechanistic linkages between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but the precise link between land use and instream condition is not clear for other causal pathways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Methods for factor-ceiling analysis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Once the predicted response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of a landscape model to classify and prioritize stream monitoring sites and demonstrate its application to estimate the potential of achieving biological integrity in California streams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tool,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deserts and plateaus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the late-1990s occurred before requirements in stormwater controls were implemented by the water quality control boards.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Similarly, potential differences in the magnitude of effects for the chosen variables were also not explicitly evaluated.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is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predictions to describe where bioassessment targets are unlikely to be met or conversely where streams are unlikely to be impacted by placing bounds on the range of expectations relative to landscape alteration. Quantile regression forests were used to predict CSCI scores in each stream segment at five percent intervals (i.e., 5th, 10th, etc.) from the 5th to 95th percentile of expectations.</w:t>
      </w:r>
    </w:p>
    <w:p>
      <w:pPr>
        <w:pStyle w:val="BodyText"/>
      </w:pPr>
      <w:r>
        <w:t xml:space="preserve">We stratified sample data to ensure sufficient representation of landscape gradients in each ecoregion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statewide and in major regions of California to estimate the extent of streams in different constraint classes.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 Using the model results, each stream segment was assigned to one of four classes, ordered by increasing constraints (Table</w:t>
      </w:r>
      <w:r>
        <w:t xml:space="preserve"> </w:t>
      </w:r>
      <w:r>
        <w:t xml:space="preserve">2</w:t>
      </w:r>
      <w:r>
        <w:t xml:space="preserve">):</w:t>
      </w:r>
    </w:p>
    <w:p>
      <w:pPr>
        <w:pStyle w:val="Compact"/>
        <w:numPr>
          <w:numId w:val="1001"/>
          <w:ilvl w:val="0"/>
        </w:numPr>
      </w:pPr>
      <w:r>
        <w:t xml:space="preserve">Likely unconstrained</w:t>
      </w:r>
    </w:p>
    <w:p>
      <w:pPr>
        <w:pStyle w:val="Compact"/>
        <w:numPr>
          <w:numId w:val="1001"/>
          <w:ilvl w:val="0"/>
        </w:numPr>
      </w:pPr>
      <w:r>
        <w:t xml:space="preserve">Possibly unconstrained</w:t>
      </w:r>
    </w:p>
    <w:p>
      <w:pPr>
        <w:pStyle w:val="Compact"/>
        <w:numPr>
          <w:numId w:val="1001"/>
          <w:ilvl w:val="0"/>
        </w:numPr>
      </w:pPr>
      <w:r>
        <w:t xml:space="preserve">Possibly constrained</w:t>
      </w:r>
    </w:p>
    <w:p>
      <w:pPr>
        <w:pStyle w:val="Compact"/>
        <w:numPr>
          <w:numId w:val="1001"/>
          <w:ilvl w:val="0"/>
        </w:numPr>
      </w:pPr>
      <w:r>
        <w:t xml:space="preserve">Likely constrained</w:t>
      </w:r>
    </w:p>
    <w:p>
      <w:pPr>
        <w:pStyle w:val="FirstParagraph"/>
      </w:pPr>
      <w:r>
        <w:t xml:space="preserve">Classifications were based solely on the intersection of the modelled CSCI expectations at a segment with a chosen CSCI threshold, where expectations could be below, above, or overlapping the threshold. Two decision points were considered for their importance in defining segment classifications:</w:t>
      </w:r>
    </w:p>
    <w:p>
      <w:pPr>
        <w:pStyle w:val="Compact"/>
        <w:numPr>
          <w:numId w:val="1002"/>
          <w:ilvl w:val="0"/>
        </w:numPr>
      </w:pPr>
      <w:r>
        <w:t xml:space="preserve">The selected range of CSCI expectations at a segment from the model(Figure</w:t>
      </w:r>
      <w:r>
        <w:t xml:space="preserve"> </w:t>
      </w:r>
      <w:r>
        <w:t xml:space="preserve">2</w:t>
      </w:r>
      <w:r>
        <w:t xml:space="preserve">a,b), chosen as the 10th to 90th percentile of model predictions.</w:t>
      </w:r>
    </w:p>
    <w:p>
      <w:pPr>
        <w:pStyle w:val="Compact"/>
        <w:numPr>
          <w:numId w:val="1002"/>
          <w:ilvl w:val="0"/>
        </w:numPr>
      </w:pPr>
      <w:r>
        <w:t xml:space="preserve">The CSCI threshold used for comparison with the modelled expectations (Figure</w:t>
      </w:r>
      <w:r>
        <w:t xml:space="preserve"> </w:t>
      </w:r>
      <w:r>
        <w:t xml:space="preserve">2</w:t>
      </w:r>
      <w:r>
        <w:t xml:space="preserve">c), chosen as 0.79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w:t>
      </w:r>
    </w:p>
    <w:p>
      <w:pPr>
        <w:pStyle w:val="FirstParagraph"/>
      </w:pPr>
      <w:r>
        <w:t xml:space="preserve">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Segments with score expectations that overlapped the CSCI threshold were considered possibly constrained or possibly unconstrained, where distinction between the two was based on location of the median expectation of a segment relative to the threshold (Table</w:t>
      </w:r>
      <w:r>
        <w:t xml:space="preserve"> </w:t>
      </w:r>
      <w:r>
        <w:t xml:space="preserve">2</w:t>
      </w:r>
      <w:r>
        <w:t xml:space="preserve">).</w:t>
      </w:r>
    </w:p>
    <w:p>
      <w:pPr>
        <w:pStyle w:val="BodyText"/>
      </w:pPr>
      <w:r>
        <w:t xml:space="preserve">CSCI scores from biomonitoring data were then compared to the stream segment classification to identify a</w:t>
      </w:r>
      <w:r>
        <w:t xml:space="preserve"> </w:t>
      </w:r>
      <w:r>
        <w:t xml:space="preserve">“</w:t>
      </w:r>
      <w:r>
        <w:t xml:space="preserve">relative site score</w:t>
      </w:r>
      <w:r>
        <w:t xml:space="preserve">”</w:t>
      </w:r>
      <w:r>
        <w:t xml:space="preserve"> </w:t>
      </w:r>
      <w:r>
        <w:t xml:space="preserve">(Figure</w:t>
      </w:r>
      <w:r>
        <w:t xml:space="preserve"> </w:t>
      </w:r>
      <w:r>
        <w:t xml:space="preserve">2</w:t>
      </w:r>
      <w:r>
        <w:t xml:space="preserve">d). This comparison is a fundamental product of the landscape model that can be used to evaluate if a site is scoring above, below, or within the range of scores that are expected given the observed level of landscape alteration. For each of the four segment classifications (likely constrained, possibly constrained, possibly unconstrained, and likely unconstrained), relative site scores were defined based on location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landscape-factors-associated-with-constraints"/>
      <w:r>
        <w:t xml:space="preserve">Landscape factors associated with constraints</w:t>
      </w:r>
      <w:bookmarkEnd w:id="36"/>
    </w:p>
    <w:p>
      <w:pPr>
        <w:pStyle w:val="FirstParagraph"/>
      </w:pPr>
      <w:r>
        <w:t xml:space="preserve">Factors explaining variation between constrained and unconstrained stream segments were evaluated for the major regions in California (Figure</w:t>
      </w:r>
      <w:r>
        <w:t xml:space="preserve"> </w:t>
      </w:r>
      <w:r>
        <w:t xml:space="preserve">1</w:t>
      </w:r>
      <w:r>
        <w:t xml:space="preserve">). Only a select subset of variables in StreamCat were used to develop the landscape model, with the purpose of describing long-term and broad scale impacts on biointegrity from landscape alteration. Additional measures in StreamCat were evaluated to provide insight into alternative factors within each region that were associated with constraints on stream integrity. The full suite of landscape and geological variables in StreamCat at the riparian and watershed scale were used to model variation among segment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The possibly and likely constrained classes were evaluated together, as were the possibly and likely unconstrained classes. However, it was recognized that retaining the possibly or likely classes was critical for developing management priorities described below.</w:t>
      </w:r>
    </w:p>
    <w:p>
      <w:pPr>
        <w:pStyle w:val="Heading2"/>
      </w:pPr>
      <w:bookmarkStart w:id="37" w:name="sensitivity-analysis-of-segment-classifications"/>
      <w:r>
        <w:t xml:space="preserve">Sensitivity analysis of segment classifications</w:t>
      </w:r>
      <w:bookmarkEnd w:id="37"/>
    </w:p>
    <w:p>
      <w:pPr>
        <w:pStyle w:val="FirstParagraph"/>
      </w:pPr>
      <w:r>
        <w:t xml:space="preserve">A sensitivity analysis was conducted to evaluate the influence of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Heading2"/>
      </w:pPr>
      <w:bookmarkStart w:id="38" w:name="defining-management-priorities-in-the-san-gabriel-river-watershed"/>
      <w:r>
        <w:t xml:space="preserve">Defining management priorities in the San Gabriel River watershed</w:t>
      </w:r>
      <w:bookmarkEnd w:id="38"/>
    </w:p>
    <w:p>
      <w:pPr>
        <w:pStyle w:val="FirstParagraph"/>
      </w:pPr>
      <w:r>
        <w:t xml:space="preserve">A framework for identifying site priorities for management actions using results from the landscape model was developed through engagement with a local stakeholder group. The San Gabriel River (SGR) Regional Monitoring Program (Los Angeles County, California) includes stakeholders from water quality regulatory agencies, municipalities, and non-govermental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w:t>
      </w:r>
    </w:p>
    <w:p>
      <w:pPr>
        <w:pStyle w:val="BodyText"/>
      </w:pPr>
      <w:r>
        <w:t xml:space="preserve">A strong land-use gradient occurs in the SGR watershed that creates challenges for managing stream condition (Figure</w:t>
      </w:r>
      <w:r>
        <w:t xml:space="preserve"> </w:t>
      </w:r>
      <w:r>
        <w:t xml:space="preserve">3</w:t>
      </w:r>
      <w:r>
        <w:t xml:space="preserve">a). The upper watershed in the San Gabriel mountains is primarily undeveloped or protected for recreational use, whereas the lower watershed is in a heavily urbanized region of Los Angeles County. The SGR is dammed at four locations in the upper watershed for flood control. Spreading grounds are present in the middle of the watershed for groundwater recharge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San Jose Creek, Coyote Creek, and the mainstem of the SGR by wastewater treatment plants releasing tertiary treated effluent. Approximately half of the monitored sites in the watershed are in poor biological condition, all of which are in the lower watershed.</w:t>
      </w:r>
    </w:p>
    <w:p>
      <w:pPr>
        <w:pStyle w:val="BodyText"/>
      </w:pPr>
      <w:r>
        <w:t xml:space="preserve">Pioritizing among the many sites that require some management intervention was a critical objective of the stakeholder group in applying the landscape model. Stakeholders identified their relevant priorities by evaluating the different site types that were possible from the landscape model relative to the stream classes (under-scoring, expected, over-scoring for each of four segment classes). The priorities were also defined by considering if an observed CSCI score at a site was above or below a potential biological threshold (e.g., CSCI of 0.79), in addition to the scoring expectation for the stream class (Table S1). The priorities defined by the group were generalized into three categories:</w:t>
      </w:r>
    </w:p>
    <w:p>
      <w:pPr>
        <w:pStyle w:val="Compact"/>
        <w:numPr>
          <w:numId w:val="1003"/>
          <w:ilvl w:val="0"/>
        </w:numPr>
      </w:pPr>
      <w:r>
        <w:t xml:space="preserve">Investigate: Suggest additional monitoring or review of supplementary data (e.g., field visits, review aerial imagery) to characterize why a site is scoring above or below an expectation, or above or below a biological objective given the expectation;</w:t>
      </w:r>
    </w:p>
    <w:p>
      <w:pPr>
        <w:pStyle w:val="Compact"/>
        <w:numPr>
          <w:numId w:val="1003"/>
          <w:ilvl w:val="0"/>
        </w:numPr>
      </w:pPr>
      <w:r>
        <w:t xml:space="preserve">Protect: Require additional scrutiny of any proposed development and/or projects for sites that score above the expectation;</w:t>
      </w:r>
    </w:p>
    <w:p>
      <w:pPr>
        <w:pStyle w:val="Compact"/>
        <w:numPr>
          <w:numId w:val="1003"/>
          <w:ilvl w:val="0"/>
        </w:numPr>
      </w:pPr>
      <w:r>
        <w:t xml:space="preserve">Restore: Pursue targeted action for causal assessment and/or restoration activity for sites that score below the expectation.</w:t>
      </w:r>
    </w:p>
    <w:p>
      <w:pPr>
        <w:pStyle w:val="FirstParagraph"/>
      </w:pPr>
      <w:r>
        <w:t xml:space="preserve">A template that showed the possible site scores relative to the segment classifications was given to the stakeholders (Figure S3, left side). The three priorities were then assigned a low, medium, or high importance for the scoring possibilities that could occur from the landscape model (Figure S3, right side). The assignments were made with the explicit recognition that any priority recommendations were in addition to baseline monitoring and maintenance that is currently provided by existing management programs</w:t>
      </w:r>
      <w:r>
        <w:t xml:space="preserve"> </w:t>
      </w:r>
      <w:r>
        <w:t xml:space="preserve">(Surface Water Ambient Monitoring Program</w:t>
      </w:r>
      <w:r>
        <w:t xml:space="preserve"> </w:t>
      </w:r>
      <w:hyperlink w:anchor="ref-SWAMP17">
        <w:r>
          <w:rPr>
            <w:rStyle w:val="Hyperlink"/>
          </w:rPr>
          <w:t xml:space="preserve">2017</w:t>
        </w:r>
      </w:hyperlink>
      <w:r>
        <w:t xml:space="preserve">)</w:t>
      </w:r>
      <w:r>
        <w:t xml:space="preserve">. The final assignments were then mapped to each monitoring site in the watershed. This allowed the stakeholders to view how different management actions in the watershed were prioritized based on the relative site score for each segment classification provided by the landscape model.</w:t>
      </w:r>
    </w:p>
    <w:p>
      <w:pPr>
        <w:pStyle w:val="BodyText"/>
      </w:pPr>
      <w:r>
        <w:t xml:space="preserve">The interactive and online Stream Classification and Priority Explorer (SCAPE) tool was created for the stakeholder group to facilitate the recommendation of management actions for each site type (Figure S1,</w:t>
      </w:r>
      <w:r>
        <w:t xml:space="preserve"> </w:t>
      </w:r>
      <w:hyperlink r:id="rId39">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This application provided maps of the extent and type of classifications for segments in the watershed, deviation of observed CSCI scores from the expectation, and maps of recommended priority actions that were assigned to each of the scoring possibilities. The SCAPE tool also allowed the stakeholders to modify key decision points in the model (i.e., range of expectations that were used from the model, selected biological threshold) to evaluate how these changes propogated to changes in recommended priorities for each site.</w:t>
      </w:r>
    </w:p>
    <w:p>
      <w:pPr>
        <w:pStyle w:val="Heading1"/>
      </w:pPr>
      <w:bookmarkStart w:id="40" w:name="results"/>
      <w:r>
        <w:t xml:space="preserve">Results</w:t>
      </w:r>
      <w:bookmarkEnd w:id="40"/>
    </w:p>
    <w:p>
      <w:pPr>
        <w:pStyle w:val="Heading2"/>
      </w:pPr>
      <w:bookmarkStart w:id="41" w:name="model-performance"/>
      <w:r>
        <w:t xml:space="preserve">Model performance</w:t>
      </w:r>
      <w:bookmarkEnd w:id="41"/>
    </w:p>
    <w:p>
      <w:pPr>
        <w:pStyle w:val="FirstParagraph"/>
      </w:pPr>
      <w:r>
        <w:t xml:space="preserve">The landscape model was used to predict an expected range of CSCI scores for 138716 stream segments in California (Figure</w:t>
      </w:r>
      <w:r>
        <w:t xml:space="preserve"> </w:t>
      </w:r>
      <w:r>
        <w:t xml:space="preserve">4</w:t>
      </w:r>
      <w:r>
        <w:t xml:space="preserve">, left). The bioassessment dataset used to develop the model included 2620 unique field observations assigned to stream segments in the NHD-plus dataset. 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such as the South Coast, whereas performance was weakest in regions without strong development gradients, such as the Sierra Nevada and North Coast regions (Table</w:t>
      </w:r>
      <w:r>
        <w:t xml:space="preserve"> </w:t>
      </w:r>
      <w:r>
        <w:t xml:space="preserve">3</w:t>
      </w:r>
      <w:r>
        <w:t xml:space="preserve">, Figure S2). Performance for the Chaparral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2" w:name="statewide-patterns"/>
      <w:r>
        <w:t xml:space="preserve">Statewide patterns</w:t>
      </w:r>
      <w:bookmarkEnd w:id="42"/>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right).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Sacramento, Colorado rivers). By region, the most segments classified as likely unconstrained were in the Sierra Nevada (50%), North Coast (46%), and Desert Modoc (46%) regions, whereas the most segments as likely constrained were observed in the Central Valley (22%) and South Coast (15%) regions. Overall, stream segments were more often constrained for biotic integrity in regions with more development, either as urban or agricultural land. For example, likely constrained segments were apparent from the statewide map in coastal areas of the South Coast where heavy urbanization occurs and in the Central Valley where agriculture is the dominant land use (Figure</w:t>
      </w:r>
      <w:r>
        <w:t xml:space="preserve"> </w:t>
      </w:r>
      <w:r>
        <w:t xml:space="preserve">4</w:t>
      </w:r>
      <w:r>
        <w:t xml:space="preserve">, right). Stream segments were more likely to be unconstrained in regions with less development, with areas in the North Coast and the Sierra Nevada region visible on the map.</w:t>
      </w:r>
    </w:p>
    <w:p>
      <w:pPr>
        <w:pStyle w:val="BodyText"/>
      </w:pPr>
      <w:r>
        <w:t xml:space="preserve">Relative CSCI scores compared to segment expectations were as expected for 80% of the sampled locations statewide, whereas a much smaller percentage of sites were equally under or over scoring (Table</w:t>
      </w:r>
      <w:r>
        <w:t xml:space="preserve"> </w:t>
      </w:r>
      <w:r>
        <w:t xml:space="preserve">5</w:t>
      </w:r>
      <w:r>
        <w:t xml:space="preserve">). Similar patterns were observed within regions, although a slightly larger percentage of sites in the Central Valley were under scoring compared to the other regions.</w:t>
      </w:r>
    </w:p>
    <w:p>
      <w:pPr>
        <w:pStyle w:val="Heading2"/>
      </w:pPr>
      <w:bookmarkStart w:id="43" w:name="associated-drivers-of-biological-constraints-and-sensitivity-analysis"/>
      <w:r>
        <w:t xml:space="preserve">Associated drivers of biological constraints and sensitivity analysis</w:t>
      </w:r>
      <w:bookmarkEnd w:id="43"/>
    </w:p>
    <w:p>
      <w:pPr>
        <w:pStyle w:val="FirstParagraph"/>
      </w:pPr>
      <w:r>
        <w:t xml:space="preserve">Importance measures from random forest models identified key variables that were associated with differences between constrained and unconstrained segments between each region (Figure S4, see Figure S5 for importance measures of the selected variables in Table</w:t>
      </w:r>
      <w:r>
        <w:t xml:space="preserve"> </w:t>
      </w:r>
      <w:r>
        <w:t xml:space="preserve">1</w:t>
      </w:r>
      <w:r>
        <w:t xml:space="preserve"> </w:t>
      </w:r>
      <w:r>
        <w:t xml:space="preserve">that were used to develop the statewide landscape model). Relative magnitudes of the importance measures between regions confirmed the estimates of model performance, such that regions where the model performed well (e.g., South Coast, Central Valley) had higher importance measures overall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Chaparral region, second most important for the North Coast, and third most important for the Sierra Nevada region. This variable was not in the top five for the South Coast region, which was exclusively described by imperviousness and urbanization. Soil erodibility was the most important variable in the Sierra Nevada region. Other important variables that were shared between regions (excluding the South Coast) were fertilizer applications and the amount of crops and hay at the riparian and watershed scale.</w:t>
      </w:r>
    </w:p>
    <w:p>
      <w:pPr>
        <w:pStyle w:val="BodyText"/>
      </w:pPr>
      <w:r>
        <w:t xml:space="preserve">Sensitivity analyses underscored the potential impact of key decision points of the landscape model on estimates of the extent of streams in each class (Figure</w:t>
      </w:r>
      <w:r>
        <w:t xml:space="preserve"> </w:t>
      </w:r>
      <w:r>
        <w:t xml:space="preserve">7</w:t>
      </w:r>
      <w:r>
        <w:t xml:space="preserve">). Decreasing the certainty of predictions from the landscape model by choosing a narrower range of scores (5th-95th to 45th-55th) increased the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Changes by region with the different scenarios were also observed. For example, over 80% of segments in the Central Valley were classified as likely constrained using a conservative CSCI threshold with low certainty of predictions, whereas less than 1% of segments were in this category using a relaxed CSCI threshold with the highest level of certainty. Opposite trends were observed in regions with reduced land use pressures. For example, almost all stream segments in the North Coast and Sierra Nevada regions were classified as likely unconstrained using a relaxed CSCI threshold and low certainty of predictions.</w:t>
      </w:r>
    </w:p>
    <w:p>
      <w:pPr>
        <w:pStyle w:val="Heading2"/>
      </w:pPr>
      <w:bookmarkStart w:id="44" w:name="san-gabriel-river-case-study"/>
      <w:r>
        <w:t xml:space="preserve">San Gabriel River Case study</w:t>
      </w:r>
      <w:bookmarkEnd w:id="44"/>
    </w:p>
    <w:p>
      <w:pPr>
        <w:pStyle w:val="FirstParagraph"/>
      </w:pPr>
      <w:r>
        <w:t xml:space="preserve">Engagement of stakeholders from the SGR Regional Monitoring Program demonstrated how management actions can be prioritized through application of the landscape model. About 750 segments in the SGR watershed were identified and classified from NHD-plus, of which 10% were visited over a ten-year period for bioassessment sampling. CSCI scores ranged from 0.2 to 1.23 consistent with heavy urban development in the lower watershed and open land use at higher elevation in the upper watershed (Figure</w:t>
      </w:r>
      <w:r>
        <w:t xml:space="preserve"> </w:t>
      </w:r>
      <w:r>
        <w:t xml:space="preserve">3</w:t>
      </w:r>
      <w:r>
        <w:t xml:space="preserve">a). Application of the landscape model results to the CSCI scores provided a context of expectations consistent with the strong land use gradient in the watershed (Figure</w:t>
      </w:r>
      <w:r>
        <w:t xml:space="preserve"> </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ranges that were right-skewed toward very low CSCI scores consistent with extreme landscape pressures (bottom left, Figure</w:t>
      </w:r>
      <w:r>
        <w:t xml:space="preserve"> </w:t>
      </w:r>
      <w:r>
        <w:t xml:space="preserve">5</w:t>
      </w:r>
      <w:r>
        <w:t xml:space="preserve">b).</w:t>
      </w:r>
    </w:p>
    <w:p>
      <w:pPr>
        <w:pStyle w:val="BodyText"/>
      </w:pPr>
      <w:r>
        <w:t xml:space="preserve">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wide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(Figure</w:t>
      </w:r>
      <w:r>
        <w:t xml:space="preserve"> </w:t>
      </w:r>
      <w:r>
        <w:t xml:space="preserve">6</w:t>
      </w:r>
      <w:r>
        <w:t xml:space="preserve">, top). One of the under-scoring sites in the likely unconstrained class was below the CSCI threshold (Figure</w:t>
      </w:r>
      <w:r>
        <w:t xml:space="preserve"> </w:t>
      </w:r>
      <w:r>
        <w:t xml:space="preserve">5</w:t>
      </w:r>
      <w:r>
        <w:t xml:space="preserve">). One site scoring as expected in the possibly unconstrained class was below the chosen CSCI threshold, whereas none of the constrained (possibly or likely) sites were above the threshold.</w:t>
      </w:r>
    </w:p>
    <w:p>
      <w:pPr>
        <w:pStyle w:val="BodyText"/>
      </w:pPr>
      <w:r>
        <w:t xml:space="preserve">In general, the stakeholder group assigned high priority recommendations to over- and under-scoring sites in likely unconstrained segments or those below the biological threshold with possibly unconstrained classification (Figure S3). Continuing current practices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 A clear distinction between low and high priority actions was observed on the watershed map (Figure</w:t>
      </w:r>
      <w:r>
        <w:t xml:space="preserve"> </w:t>
      </w:r>
      <w:r>
        <w:t xml:space="preserve">6</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5" w:name="discussion"/>
      <w:r>
        <w:t xml:space="preserve">Discussion</w:t>
      </w:r>
      <w:bookmarkEnd w:id="45"/>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diagnosis of causes of impairment, nor does it provide an exemption from management intervention if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objectives</w:t>
      </w:r>
      <w:r>
        <w:t xml:space="preserve">”</w:t>
      </w:r>
      <w:r>
        <w:t xml:space="preserve"> </w:t>
      </w:r>
      <w:r>
        <w:t xml:space="preserve">under the Clean Water Act). Regulatory management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could be used to evaluate sites that are or are not meeting biological objectives relative to their modeled condition. This could be used to guide and provide flexibility in the selection of regulatory actions at specific sites or watershed scales (e.g., hydrologic subareas), and to further prioritize where and when actions should take place based on the time and spatial scale needed for protection or restoration actions. For example, for sites that meet biological objectives but where the models predict they can or should not (e.g., Figure S3, segment types 5, 9, 10, or 13), regulatory actions may be associated with protecting that condition and could be implemented in the short-term to prevent degradation. This flexibility is not to exclude sites from consideration that are less likely to achieve biological objectives, but rather to facilitate the decision-making process through a more transparent application of the model in a regulatory context.</w:t>
      </w:r>
    </w:p>
    <w:p>
      <w:pPr>
        <w:pStyle w:val="Heading2"/>
      </w:pPr>
      <w:bookmarkStart w:id="46" w:name="the-landscape-model-is-a-tool-for-exploring-options"/>
      <w:r>
        <w:t xml:space="preserve">The landscape model is a tool for exploring options</w:t>
      </w:r>
      <w:bookmarkEnd w:id="46"/>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managagment priorities. In doing so, the group was able to synthesize a large volume of bioassessment data to explore potential management actions relative to the landscape contexts of the watershed.</w:t>
      </w:r>
    </w:p>
    <w:p>
      <w:pPr>
        <w:pStyle w:val="BodyText"/>
      </w:pPr>
      <w:r>
        <w:t xml:space="preserve">The ability of the landscape model to predict the range of expected biological condition at a given site reflects an associative link between present land use and stream biology. A relatively low expected range of CSCI scores is an indication that stressors originating from the landscape may have imposed habitat limits that constrain biology. From a regulatory perspective, many states, including California, have explicit biological assessment requirements which are often interpreted in the context of land use. The use of biological endpoints in the landscape model could facilitate the implementation of biological standards, although as indicated, the model is more appropriate in a supporting role for regulation rather than direct application. Landscape models could also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w:t>
      </w:r>
    </w:p>
    <w:p>
      <w:pPr>
        <w:pStyle w:val="BodyText"/>
      </w:pPr>
      <w:r>
        <w:t xml:space="preserve">Several states have recommended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defining alternative standards and uses based solely on channel modification may be insufficient. Constrained channels in rural landscapes (e.g., the mainstem of the Klamath and Russian rivers in the North Coast region) were also identified by the model, as well as many streams in agricultural areas (e.g., Salinas River). In the context of the model, a constrained channel may or may not be engineered, but an engineered channel will typically be constrained given the surrounding land use. Modified channels may also be present in undeveloped landscapes and high bioassessment scores have been observed in armoured streams within national forest lands</w:t>
      </w:r>
      <w:r>
        <w:t xml:space="preserve"> </w:t>
      </w:r>
      <w:r>
        <w:t xml:space="preserve">(Stein et al.</w:t>
      </w:r>
      <w:r>
        <w:t xml:space="preserve"> </w:t>
      </w:r>
      <w:hyperlink w:anchor="ref-Stein13">
        <w:r>
          <w:rPr>
            <w:rStyle w:val="Hyperlink"/>
          </w:rPr>
          <w:t xml:space="preserve">2013</w:t>
        </w:r>
      </w:hyperlink>
      <w:r>
        <w:t xml:space="preserve">)</w:t>
      </w:r>
      <w:r>
        <w:t xml:space="preserve">. A classification framework for biological constraints using only channel modification would provide incomplete information relative to an approach using landscape information.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The utility of landscape models in supporting watershed management has applications outside of California.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elsewhere in diverse bioassessment contexts. The CSCI was developed for macroinvertebrate assessment in California, but this approach could be applied with other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In addition, extension of the landscape model could be explored to develop a national 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7" w:name="model-assumptions-and-limitations"/>
      <w:r>
        <w:t xml:space="preserve">Model assumptions and limitations</w:t>
      </w:r>
      <w:bookmarkEnd w:id="47"/>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As such, landscape variables were chosen to capture the effects of development on CSCI scores in these areas (Table</w:t>
      </w:r>
      <w:r>
        <w:t xml:space="preserve"> </w:t>
      </w:r>
      <w:r>
        <w:t xml:space="preserve">1</w:t>
      </w:r>
      <w:r>
        <w:t xml:space="preserve">). This could lead to erroneous conclusions in regions where different stressors have strong impacts on stream condition. For example, our results suggest that streams in the North Coast and Sierra Nevada regions are largely unconstrained, but model performance was poor in these areas. The dominant stressors likely to affect stream condition in these regions originate from sources that are less common in developed landscapes, e.g., silviculture, cannabis cultivation, water extraction, and hydrologic alteration. The current landscape model does not adequately capture these impacts outside of urban and agricultural environments. Moreover, poor model performance is compounded by relatively poor performance of the CSCI to capture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much less readily available,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and the CSCI can adequately discriminate between intractable constraints on biology that are spatially and temporally pervasive relative to more manageable constraints. This assumption applies to any stressor gradient that could be used to develop the model. For example, our model adequately described urban constraints but there was no context for temporal or spatial scales that have management relevance. Pervasive and profound alteration to groundwater and hydrology is common in highly developed areas and stream communities may not ever be able to be restored to reference conditions even in the most extreme management interventions. Similar conditions likely exist for other land use gradients. For example, a landscape model developed to describe constraints from timber harvesting practices may not provide adequate information on the long-term impacts of siltation on stream integrity if the input data does not describe these impacts at spatial and temporal scales that are relevant for management. The potential legacy impacts of large-scale alterations of the natural environment are not well-captured by the current model, neither from a spatial nor temporal perspective. Our analysis of landscape factors associated with constraints using additional StreamCat variables provided a preliminary means of addressing this concern (Figure S4), although a more refined application of the landscape model would be necessary to evaluate different scales of impact. This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Many urban streams can support diverse algal assemblages such that algal-based measures of biotic condition may alternatively suggest good biotic condition relative to macroinvertebrate-based indices. The focus of the landscape model on a specific taxa is not unique to other bioassessment tools and application to other taxa as alternative lines of evidence is needed for a more complete assessment of how condition relates to landscape alteration.</w:t>
      </w:r>
    </w:p>
    <w:p>
      <w:pPr>
        <w:pStyle w:val="Heading2"/>
      </w:pPr>
      <w:bookmarkStart w:id="48" w:name="engagement-of-local-stakeholders-is-critical-for-regional-application"/>
      <w:r>
        <w:t xml:space="preserve">Engagement of local stakeholders is critical for regional application</w:t>
      </w:r>
      <w:bookmarkEnd w:id="48"/>
    </w:p>
    <w:p>
      <w:pPr>
        <w:pStyle w:val="FirstParagraph"/>
      </w:pPr>
      <w:r>
        <w:t xml:space="preserve">Application of the landscape model to define potential management actions was effectively tested with stakeholders from the SGR Regional Monitoring Program.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more likely to adopt the recommendations provided by these tools in formal decision-making. The recommended actions have relevance only in the context of interests of the SGR Regional Monitoring Program. Localized applications of the statewide model must engage stakeholders in a similar process to develop recommendations that are specific to regional needs.</w:t>
      </w:r>
    </w:p>
    <w:p>
      <w:pPr>
        <w:pStyle w:val="BodyText"/>
      </w:pPr>
      <w:r>
        <w:t xml:space="preserve">The development of the SCAPE tool was also critical for engaging the stakeholder group. The tool provided a means of demonstrating core concepts of the landscape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tool, this stakeholder group has a better understanding of the potential impacts of biointegrity policies currently under review in California. Additionally, the SCAPE tool provided assurance to the prioritization process by correctly identifying sites where dicrepancies between CSCI scores and other measures of stream condition had been observed. The SCAPE tool prioritized a site for restoration in the upper watershed that was unconstrained and under-performing. This confirmed a discrepancy identified by the stakeholders where good physical habitat conditions were observed from field visits, but the observed CSCI score was below the chosen threshold. As such, application of the landscape modelling approach to other regions will benefit from similar tools that actively engage managers with bioassessment data.</w:t>
      </w:r>
    </w:p>
    <w:p>
      <w:pPr>
        <w:pStyle w:val="Heading2"/>
      </w:pPr>
      <w:bookmarkStart w:id="49" w:name="summary"/>
      <w:r>
        <w:t xml:space="preserve">Summary</w:t>
      </w:r>
      <w:bookmarkEnd w:id="49"/>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39">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Supplement 1. An analysis that demonstrates how biological expectations can be defined for unclassified stream segments is provided in Supplement 2.</w:t>
      </w:r>
    </w:p>
    <w:p>
      <w:pPr>
        <w:pStyle w:val="Heading1"/>
      </w:pPr>
      <w:bookmarkStart w:id="51" w:name="figures"/>
      <w:r>
        <w:t xml:space="preserve">Figures</w:t>
      </w:r>
      <w:bookmarkEnd w:id="51"/>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5943600" cy="4457700"/>
            <wp:effectExtent b="0" l="0" r="0" t="0"/>
            <wp:docPr descr="Figure 4 Statewide application of the landscape model showing the median predicted CSCI scores for each stream segment (left) and corresponding stream segment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median predicted CSCI scores for each stream segment (left) and corresponding stream segment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6"/>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7"/>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6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S3) and are ranked by priority for actions to investigate, protect, and restore a site. No recommended actions assume baseline maintenance and monitoring is sufficient.</w:t>
      </w:r>
    </w:p>
    <w:p>
      <w:pPr>
        <w:pStyle w:val="CaptionedFigure"/>
      </w:pPr>
      <w:r>
        <w:drawing>
          <wp:inline>
            <wp:extent cx="5046020" cy="4587290"/>
            <wp:effectExtent b="0" l="0" r="0" t="0"/>
            <wp:docPr descr="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7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9144000"/>
            <wp:effectExtent b="0" l="0" r="0" t="0"/>
            <wp:docPr descr="Figure 8 Tecolote Creek (San Diego County, USA) is an example of a constrained channel with unalteraed physical habitat. The creek drains a heavily urbanized landscape (a, Source: 32.81736, -117.19986. Google Earth. November 8, 2016. Accessed July 20, 2018.), whereas physical habitat assessments at the sample site suggest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9"/>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an example of a constrained channel with unalteraed physical habitat. The creek drains a heavily urbanized landscape (a, Source: 32.81736, -117.19986. Google Earth. November 8, 2016. Accessed July 20, 2018.), whereas physical habitat assessments at the sample site suggest no channel alteration. The CSCI was scored at 0.61 indicating degraded biological integrity.</w:t>
      </w:r>
    </w:p>
    <w:p>
      <w:pPr>
        <w:pStyle w:val="Heading1"/>
      </w:pPr>
      <w:bookmarkStart w:id="60" w:name="tables"/>
      <w:r>
        <w:t xml:space="preserve">Tables</w:t>
      </w:r>
      <w:bookmarkEnd w:id="60"/>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vidual variables in StreamCat as noted in the desc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argricultural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Heading1"/>
      </w:pPr>
      <w:bookmarkStart w:id="61" w:name="references"/>
      <w:r>
        <w:t xml:space="preserve">References</w:t>
      </w:r>
      <w:bookmarkEnd w:id="61"/>
    </w:p>
    <w:bookmarkStart w:id="163" w:name="refs"/>
    <w:bookmarkStart w:id="63"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2">
        <w:r>
          <w:rPr>
            <w:rStyle w:val="Hyperlink"/>
          </w:rPr>
          <w:t xml:space="preserve">https://doi.org/10.1046/j.1365-2427.1997.d01-546.x</w:t>
        </w:r>
      </w:hyperlink>
      <w:r>
        <w:t xml:space="preserve">.</w:t>
      </w:r>
    </w:p>
    <w:bookmarkEnd w:id="63"/>
    <w:bookmarkStart w:id="65"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4">
        <w:r>
          <w:rPr>
            <w:rStyle w:val="Hyperlink"/>
          </w:rPr>
          <w:t xml:space="preserve">https://doi.org/10.1146/annurev.ecolsys.35.120202.110122</w:t>
        </w:r>
      </w:hyperlink>
      <w:r>
        <w:t xml:space="preserve">.</w:t>
      </w:r>
    </w:p>
    <w:bookmarkEnd w:id="65"/>
    <w:bookmarkStart w:id="67" w:name="ref-Beck18c"/>
    <w:p>
      <w:pPr>
        <w:pStyle w:val="Bibliography"/>
      </w:pPr>
      <w:r>
        <w:t xml:space="preserve">Beck, M. W. 2018. “SCCWRP/SCAPE: v1.0 (Version 1.0). Zenodo,</w:t>
      </w:r>
      <w:r>
        <w:t xml:space="preserve"> </w:t>
      </w:r>
      <w:hyperlink r:id="rId66">
        <w:r>
          <w:rPr>
            <w:rStyle w:val="Hyperlink"/>
          </w:rPr>
          <w:t xml:space="preserve">http://doi.org/10.5281/zenodo.1218121</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1">
        <w:r>
          <w:rPr>
            <w:rStyle w:val="Hyperlink"/>
          </w:rPr>
          <w:t xml:space="preserve">https://doi.org/10.1016/j.landurbplan.2012.07.009</w:t>
        </w:r>
      </w:hyperlink>
      <w:r>
        <w:t xml:space="preserve">.</w:t>
      </w:r>
    </w:p>
    <w:bookmarkEnd w:id="72"/>
    <w:bookmarkStart w:id="74"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3">
        <w:r>
          <w:rPr>
            <w:rStyle w:val="Hyperlink"/>
          </w:rPr>
          <w:t xml:space="preserve">https://doi.org/10.1007/s10661-014-4132-8</w:t>
        </w:r>
      </w:hyperlink>
      <w:r>
        <w:t xml:space="preserve">.</w:t>
      </w:r>
    </w:p>
    <w:bookmarkEnd w:id="74"/>
    <w:bookmarkStart w:id="75"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5"/>
    <w:bookmarkStart w:id="76" w:name="ref-CRWQCB14"/>
    <w:p>
      <w:pPr>
        <w:pStyle w:val="Bibliography"/>
      </w:pPr>
      <w:r>
        <w:t xml:space="preserve">California Regional Water Quality Control Board, Los Angeles Region. 2014. “Basin Plan for the Coastal Watersheds of Los Angeles and Ventura Counties.”</w:t>
      </w:r>
    </w:p>
    <w:bookmarkEnd w:id="76"/>
    <w:bookmarkStart w:id="78"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77">
        <w:r>
          <w:rPr>
            <w:rStyle w:val="Hyperlink"/>
          </w:rPr>
          <w:t xml:space="preserve">https://doi.org/10.1899/06-078.1</w:t>
        </w:r>
      </w:hyperlink>
      <w:r>
        <w:t xml:space="preserve">.</w:t>
      </w:r>
    </w:p>
    <w:bookmarkEnd w:id="78"/>
    <w:bookmarkStart w:id="80"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9">
        <w:r>
          <w:rPr>
            <w:rStyle w:val="Hyperlink"/>
          </w:rPr>
          <w:t xml:space="preserve">https://doi.org/10.1111/j.1526-100X.2007.00285.x</w:t>
        </w:r>
      </w:hyperlink>
      <w:r>
        <w:t xml:space="preserve">.</w:t>
      </w:r>
    </w:p>
    <w:bookmarkEnd w:id="80"/>
    <w:bookmarkStart w:id="82"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1">
        <w:r>
          <w:rPr>
            <w:rStyle w:val="Hyperlink"/>
          </w:rPr>
          <w:t xml:space="preserve">https://doi.org/10.1007/s10661-008-0256-z</w:t>
        </w:r>
      </w:hyperlink>
      <w:r>
        <w:t xml:space="preserve">.</w:t>
      </w:r>
    </w:p>
    <w:bookmarkEnd w:id="82"/>
    <w:bookmarkStart w:id="84"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3">
        <w:r>
          <w:rPr>
            <w:rStyle w:val="Hyperlink"/>
          </w:rPr>
          <w:t xml:space="preserve">https://doi.org/10.1016/j.ecolind.2013.07.006</w:t>
        </w:r>
      </w:hyperlink>
      <w:r>
        <w:t xml:space="preserve">.</w:t>
      </w:r>
    </w:p>
    <w:bookmarkEnd w:id="84"/>
    <w:bookmarkStart w:id="86"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5">
        <w:r>
          <w:rPr>
            <w:rStyle w:val="Hyperlink"/>
          </w:rPr>
          <w:t xml:space="preserve">https://doi.org/10.1086/678701</w:t>
        </w:r>
      </w:hyperlink>
      <w:r>
        <w:t xml:space="preserve">.</w:t>
      </w:r>
    </w:p>
    <w:bookmarkEnd w:id="86"/>
    <w:bookmarkStart w:id="88"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87">
        <w:r>
          <w:rPr>
            <w:rStyle w:val="Hyperlink"/>
          </w:rPr>
          <w:t xml:space="preserve">https://doi.org/10.1002/rra.1053</w:t>
        </w:r>
      </w:hyperlink>
      <w:r>
        <w:t xml:space="preserve">.</w:t>
      </w:r>
    </w:p>
    <w:bookmarkEnd w:id="88"/>
    <w:bookmarkStart w:id="90"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89">
        <w:r>
          <w:rPr>
            <w:rStyle w:val="Hyperlink"/>
          </w:rPr>
          <w:t xml:space="preserve">https://doi.org/10.1899/0887-3593(2004)023%3C0599:BWRSUO%3E2.0.CO;2</w:t>
        </w:r>
      </w:hyperlink>
      <w:r>
        <w:t xml:space="preserve">.</w:t>
      </w:r>
    </w:p>
    <w:bookmarkEnd w:id="90"/>
    <w:bookmarkStart w:id="92"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1">
        <w:r>
          <w:rPr>
            <w:rStyle w:val="Hyperlink"/>
          </w:rPr>
          <w:t xml:space="preserve">https://doi.org/10.1111/j.1365-2427.2011.02696.x</w:t>
        </w:r>
      </w:hyperlink>
      <w:r>
        <w:t xml:space="preserve">.</w:t>
      </w:r>
    </w:p>
    <w:bookmarkEnd w:id="92"/>
    <w:bookmarkStart w:id="94"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3">
        <w:r>
          <w:rPr>
            <w:rStyle w:val="Hyperlink"/>
          </w:rPr>
          <w:t xml:space="preserve">https://doi.org/10.1002/etc.2059</w:t>
        </w:r>
      </w:hyperlink>
      <w:r>
        <w:t xml:space="preserve">.</w:t>
      </w:r>
    </w:p>
    <w:bookmarkEnd w:id="94"/>
    <w:bookmarkStart w:id="95"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5"/>
    <w:bookmarkStart w:id="96" w:name="ref-ESRI16"/>
    <w:p>
      <w:pPr>
        <w:pStyle w:val="Bibliography"/>
      </w:pPr>
      <w:r>
        <w:t xml:space="preserve">ESRI (Environmental Systems Research Institute). 2016. “ArcGIS v10.5.”</w:t>
      </w:r>
    </w:p>
    <w:bookmarkEnd w:id="96"/>
    <w:bookmarkStart w:id="98"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97">
        <w:r>
          <w:rPr>
            <w:rStyle w:val="Hyperlink"/>
          </w:rPr>
          <w:t xml:space="preserve">https://doi.org/10.1111/j.1752-1688.2000.tb05717.x</w:t>
        </w:r>
      </w:hyperlink>
      <w:r>
        <w:t xml:space="preserve">.</w:t>
      </w:r>
    </w:p>
    <w:bookmarkEnd w:id="98"/>
    <w:bookmarkStart w:id="99"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99"/>
    <w:bookmarkStart w:id="101"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0">
        <w:r>
          <w:rPr>
            <w:rStyle w:val="Hyperlink"/>
          </w:rPr>
          <w:t xml:space="preserve">https://doi.org/10.1007/s10661-017-6025-0</w:t>
        </w:r>
      </w:hyperlink>
      <w:r>
        <w:t xml:space="preserve">.</w:t>
      </w:r>
    </w:p>
    <w:bookmarkEnd w:id="101"/>
    <w:bookmarkStart w:id="102"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2"/>
    <w:bookmarkStart w:id="103"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3"/>
    <w:bookmarkStart w:id="105"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04">
        <w:r>
          <w:rPr>
            <w:rStyle w:val="Hyperlink"/>
          </w:rPr>
          <w:t xml:space="preserve">https://doi.org/10.1002/eap.1617</w:t>
        </w:r>
      </w:hyperlink>
      <w:r>
        <w:t xml:space="preserve">.</w:t>
      </w:r>
    </w:p>
    <w:bookmarkEnd w:id="105"/>
    <w:bookmarkStart w:id="107"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06">
        <w:r>
          <w:rPr>
            <w:rStyle w:val="Hyperlink"/>
          </w:rPr>
          <w:t xml:space="preserve">https://doi.org/10.1111/1752-1688.12372</w:t>
        </w:r>
      </w:hyperlink>
      <w:r>
        <w:t xml:space="preserve">.</w:t>
      </w:r>
    </w:p>
    <w:bookmarkEnd w:id="107"/>
    <w:bookmarkStart w:id="109"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08">
        <w:r>
          <w:rPr>
            <w:rStyle w:val="Hyperlink"/>
          </w:rPr>
          <w:t xml:space="preserve">https://doi.org/10.1086/697996</w:t>
        </w:r>
      </w:hyperlink>
      <w:r>
        <w:t xml:space="preserve">.</w:t>
      </w:r>
    </w:p>
    <w:bookmarkEnd w:id="109"/>
    <w:bookmarkStart w:id="111"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0">
        <w:r>
          <w:rPr>
            <w:rStyle w:val="Hyperlink"/>
          </w:rPr>
          <w:t xml:space="preserve">https://doi.org/10.1371/journal.pone.0130710</w:t>
        </w:r>
      </w:hyperlink>
      <w:r>
        <w:t xml:space="preserve">.</w:t>
      </w:r>
    </w:p>
    <w:bookmarkEnd w:id="111"/>
    <w:bookmarkStart w:id="112"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2"/>
    <w:bookmarkStart w:id="11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13">
        <w:r>
          <w:rPr>
            <w:rStyle w:val="Hyperlink"/>
          </w:rPr>
          <w:t xml:space="preserve">https://doi.org/10.1111/j.1752-1688.2011.00635.x</w:t>
        </w:r>
      </w:hyperlink>
      <w:r>
        <w:t xml:space="preserve">.</w:t>
      </w:r>
    </w:p>
    <w:bookmarkEnd w:id="114"/>
    <w:bookmarkStart w:id="116"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15">
        <w:r>
          <w:rPr>
            <w:rStyle w:val="Hyperlink"/>
          </w:rPr>
          <w:t xml:space="preserve">https://doi.org/10.1016/j.scitotenv.2015.07.083</w:t>
        </w:r>
      </w:hyperlink>
      <w:r>
        <w:t xml:space="preserve">.</w:t>
      </w:r>
    </w:p>
    <w:bookmarkEnd w:id="116"/>
    <w:bookmarkStart w:id="11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17">
        <w:r>
          <w:rPr>
            <w:rStyle w:val="Hyperlink"/>
          </w:rPr>
          <w:t xml:space="preserve">https://doi.org/10.1007%2Fs00267-008-9151-1</w:t>
        </w:r>
      </w:hyperlink>
      <w:r>
        <w:t xml:space="preserve">.</w:t>
      </w:r>
    </w:p>
    <w:bookmarkEnd w:id="118"/>
    <w:bookmarkStart w:id="12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19">
        <w:r>
          <w:rPr>
            <w:rStyle w:val="Hyperlink"/>
          </w:rPr>
          <w:t xml:space="preserve">https://doi.org/10.3368/er.34.2.124</w:t>
        </w:r>
      </w:hyperlink>
      <w:r>
        <w:t xml:space="preserve">.</w:t>
      </w:r>
    </w:p>
    <w:bookmarkEnd w:id="120"/>
    <w:bookmarkStart w:id="12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21">
        <w:r>
          <w:rPr>
            <w:rStyle w:val="Hyperlink"/>
          </w:rPr>
          <w:t xml:space="preserve">https://doi.org/10.1007/s10661-014-4086-x</w:t>
        </w:r>
      </w:hyperlink>
      <w:r>
        <w:t xml:space="preserve">.</w:t>
      </w:r>
    </w:p>
    <w:bookmarkEnd w:id="122"/>
    <w:bookmarkStart w:id="12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3"/>
    <w:bookmarkStart w:id="124" w:name="ref-McKay12"/>
    <w:p>
      <w:pPr>
        <w:pStyle w:val="Bibliography"/>
      </w:pPr>
      <w:r>
        <w:t xml:space="preserve">McKay, L., T. Bondelid, T. Dewald, J. Johnston, R. Moore, and A. Reah. 2012. “NHDPlus Version 2: User Guide.”</w:t>
      </w:r>
    </w:p>
    <w:bookmarkEnd w:id="124"/>
    <w:bookmarkStart w:id="12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25"/>
    <w:bookmarkStart w:id="12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26">
        <w:r>
          <w:rPr>
            <w:rStyle w:val="Hyperlink"/>
          </w:rPr>
          <w:t xml:space="preserve">https://CRAN.R-project.org/package=quantregForest</w:t>
        </w:r>
      </w:hyperlink>
      <w:r>
        <w:t xml:space="preserve">.</w:t>
      </w:r>
    </w:p>
    <w:bookmarkEnd w:id="127"/>
    <w:bookmarkStart w:id="128"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28"/>
    <w:bookmarkStart w:id="12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29"/>
    <w:bookmarkStart w:id="131"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0">
        <w:r>
          <w:rPr>
            <w:rStyle w:val="Hyperlink"/>
          </w:rPr>
          <w:t xml:space="preserve">https://doi.org/10.1111/j.1365-2427.1987.tb01027.x</w:t>
        </w:r>
      </w:hyperlink>
      <w:r>
        <w:t xml:space="preserve">.</w:t>
      </w:r>
    </w:p>
    <w:bookmarkEnd w:id="131"/>
    <w:bookmarkStart w:id="13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32">
        <w:r>
          <w:rPr>
            <w:rStyle w:val="Hyperlink"/>
          </w:rPr>
          <w:t xml:space="preserve">https://doi.org/10.1016/j.watres.2004.09.002</w:t>
        </w:r>
      </w:hyperlink>
      <w:r>
        <w:t xml:space="preserve">.</w:t>
      </w:r>
    </w:p>
    <w:bookmarkEnd w:id="133"/>
    <w:bookmarkStart w:id="134"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34"/>
    <w:bookmarkStart w:id="135"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35"/>
    <w:bookmarkStart w:id="137"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36">
        <w:r>
          <w:rPr>
            <w:rStyle w:val="Hyperlink"/>
          </w:rPr>
          <w:t xml:space="preserve">https://doi.org/10.1890/11-0077.1</w:t>
        </w:r>
      </w:hyperlink>
      <w:r>
        <w:t xml:space="preserve">.</w:t>
      </w:r>
    </w:p>
    <w:bookmarkEnd w:id="137"/>
    <w:bookmarkStart w:id="138"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38"/>
    <w:bookmarkStart w:id="140"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39">
        <w:r>
          <w:rPr>
            <w:rStyle w:val="Hyperlink"/>
          </w:rPr>
          <w:t xml:space="preserve">https://doi.org/10.1111/gec3.12039</w:t>
        </w:r>
      </w:hyperlink>
      <w:r>
        <w:t xml:space="preserve">.</w:t>
      </w:r>
    </w:p>
    <w:bookmarkEnd w:id="140"/>
    <w:bookmarkStart w:id="142"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41">
        <w:r>
          <w:rPr>
            <w:rStyle w:val="Hyperlink"/>
          </w:rPr>
          <w:t xml:space="preserve">https://doi.org/10.1007/s10661-010-1385-8</w:t>
        </w:r>
      </w:hyperlink>
      <w:r>
        <w:t xml:space="preserve">.</w:t>
      </w:r>
    </w:p>
    <w:bookmarkEnd w:id="142"/>
    <w:bookmarkStart w:id="144"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43">
        <w:r>
          <w:rPr>
            <w:rStyle w:val="Hyperlink"/>
          </w:rPr>
          <w:t xml:space="preserve">https://doi.org/10.1046/j.1365-2427.2001.00758.x</w:t>
        </w:r>
      </w:hyperlink>
      <w:r>
        <w:t xml:space="preserve">.</w:t>
      </w:r>
    </w:p>
    <w:bookmarkEnd w:id="144"/>
    <w:bookmarkStart w:id="146"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45">
        <w:r>
          <w:rPr>
            <w:rStyle w:val="Hyperlink"/>
          </w:rPr>
          <w:t xml:space="preserve">https://doi.org/10.1111/jawr.12035</w:t>
        </w:r>
      </w:hyperlink>
      <w:r>
        <w:t xml:space="preserve">.</w:t>
      </w:r>
    </w:p>
    <w:bookmarkEnd w:id="146"/>
    <w:bookmarkStart w:id="14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p>
    <w:bookmarkEnd w:id="147"/>
    <w:bookmarkStart w:id="149" w:name="ref-SWAMP17"/>
    <w:p>
      <w:pPr>
        <w:pStyle w:val="Bibliography"/>
      </w:pPr>
      <w:r>
        <w:t xml:space="preserve">Surface Water Ambient Monitoring Program. 2017. “SWAMP Quality Assurance Program Plan.” Final. Sacramento, California: Office of Information Management; Analysis, State Water Resources Control Board.</w:t>
      </w:r>
      <w:r>
        <w:t xml:space="preserve"> </w:t>
      </w:r>
      <w:hyperlink r:id="rId148">
        <w:r>
          <w:rPr>
            <w:rStyle w:val="Hyperlink"/>
          </w:rPr>
          <w:t xml:space="preserve">https://www.waterboards.ca.gov/water_issues/programs/swamp/qapp/swamp_QAPrP_2017_Final.pdf</w:t>
        </w:r>
      </w:hyperlink>
      <w:r>
        <w:t xml:space="preserve">.</w:t>
      </w:r>
    </w:p>
    <w:bookmarkEnd w:id="149"/>
    <w:bookmarkStart w:id="151"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50">
        <w:r>
          <w:rPr>
            <w:rStyle w:val="Hyperlink"/>
          </w:rPr>
          <w:t xml:space="preserve">https://doi.org/10.1111/j.1365-2664.2008.01548.x</w:t>
        </w:r>
      </w:hyperlink>
      <w:r>
        <w:t xml:space="preserve">.</w:t>
      </w:r>
    </w:p>
    <w:bookmarkEnd w:id="151"/>
    <w:bookmarkStart w:id="152"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52"/>
    <w:bookmarkStart w:id="153" w:name="ref-USEPA16"/>
    <w:p>
      <w:pPr>
        <w:pStyle w:val="Bibliography"/>
      </w:pPr>
      <w:r>
        <w:t xml:space="preserve">USEPA (US Environmental Protection Agency). 2016. “National Rivers and Streams Assessment 2008-2009: A Collaborative Survey.” EPA-841-R-16-007. Washington, DC.</w:t>
      </w:r>
    </w:p>
    <w:bookmarkEnd w:id="153"/>
    <w:bookmarkStart w:id="154" w:name="ref-USGS99"/>
    <w:p>
      <w:pPr>
        <w:pStyle w:val="Bibliography"/>
      </w:pPr>
      <w:r>
        <w:t xml:space="preserve">USGS (US Geological Survey). 1999. “The quality of our nation’s waters: nutrients and pesticides.” Reston, Virginia.</w:t>
      </w:r>
    </w:p>
    <w:bookmarkEnd w:id="154"/>
    <w:bookmarkStart w:id="156"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55">
        <w:r>
          <w:rPr>
            <w:rStyle w:val="Hyperlink"/>
          </w:rPr>
          <w:t xml:space="preserve">https://doi.org/10.1023/A:1023374524254</w:t>
        </w:r>
      </w:hyperlink>
      <w:r>
        <w:t xml:space="preserve">.</w:t>
      </w:r>
    </w:p>
    <w:bookmarkEnd w:id="156"/>
    <w:bookmarkStart w:id="158"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57">
        <w:r>
          <w:rPr>
            <w:rStyle w:val="Hyperlink"/>
          </w:rPr>
          <w:t xml:space="preserve">https://doi.org/10.1111/jawr.12032</w:t>
        </w:r>
      </w:hyperlink>
      <w:r>
        <w:t xml:space="preserve">.</w:t>
      </w:r>
    </w:p>
    <w:bookmarkEnd w:id="158"/>
    <w:bookmarkStart w:id="160"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59">
        <w:r>
          <w:rPr>
            <w:rStyle w:val="Hyperlink"/>
          </w:rPr>
          <w:t xml:space="preserve">https://doi.org/10.1371/journal.pone.0090944</w:t>
        </w:r>
      </w:hyperlink>
      <w:r>
        <w:t xml:space="preserve">.</w:t>
      </w:r>
    </w:p>
    <w:bookmarkEnd w:id="160"/>
    <w:bookmarkStart w:id="162"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61">
        <w:r>
          <w:rPr>
            <w:rStyle w:val="Hyperlink"/>
          </w:rPr>
          <w:t xml:space="preserve">https://doi.org/10.1577/1548-8446(1997)022%3C0006:IOWLUO%3E2.0.CO;2</w:t>
        </w:r>
      </w:hyperlink>
      <w:r>
        <w:t xml:space="preserve">.</w:t>
      </w:r>
    </w:p>
    <w:bookmarkEnd w:id="162"/>
    <w:bookmarkEnd w:id="16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hyperlink" Id="rId66" Target="http://doi.org/10.5281/zenodo.1218121" TargetMode="External" /><Relationship Type="http://schemas.openxmlformats.org/officeDocument/2006/relationships/hyperlink" Id="rId39"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1"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5" Target="https://doi.org/10.1023/A:1023374524254" TargetMode="External" /><Relationship Type="http://schemas.openxmlformats.org/officeDocument/2006/relationships/hyperlink" Id="rId62" Target="https://doi.org/10.1046/j.1365-2427.1997.d01-546.x" TargetMode="External" /><Relationship Type="http://schemas.openxmlformats.org/officeDocument/2006/relationships/hyperlink" Id="rId143"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39"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0"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13" Target="https://doi.org/10.1111/j.1752-1688.2011.00635.x" TargetMode="External" /><Relationship Type="http://schemas.openxmlformats.org/officeDocument/2006/relationships/hyperlink" Id="rId157" Target="https://doi.org/10.1111/jawr.12032" TargetMode="External" /><Relationship Type="http://schemas.openxmlformats.org/officeDocument/2006/relationships/hyperlink" Id="rId145" Target="https://doi.org/10.1111/jawr.12035" TargetMode="External" /><Relationship Type="http://schemas.openxmlformats.org/officeDocument/2006/relationships/hyperlink" Id="rId64" Target="https://doi.org/10.1146/annurev.ecolsys.35.120202.110122" TargetMode="External" /><Relationship Type="http://schemas.openxmlformats.org/officeDocument/2006/relationships/hyperlink" Id="rId159"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1" Target="https://doi.org/10.1577/1548-8446(1997)022%3C0006:IOWLUO%3E2.0.CO;2" TargetMode="External" /><Relationship Type="http://schemas.openxmlformats.org/officeDocument/2006/relationships/hyperlink" Id="rId136" Target="https://doi.org/10.1890/11-0077.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8" Target="https://www.waterboards.ca.gov/water_issues/programs/swamp/qapp/swamp_QAPrP_2017_Final.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9" Target="http://shiny.sccwrp.org/scape/" TargetMode="External" /><Relationship Type="http://schemas.openxmlformats.org/officeDocument/2006/relationships/hyperlink" Id="rId126" Target="https://CRAN.R-project.org/package=quantregForest" TargetMode="External" /><Relationship Type="http://schemas.openxmlformats.org/officeDocument/2006/relationships/hyperlink" Id="rId104" Target="https://doi.org/10.1002/eap.1617" TargetMode="External" /><Relationship Type="http://schemas.openxmlformats.org/officeDocument/2006/relationships/hyperlink" Id="rId93" Target="https://doi.org/10.1002/etc.2059" TargetMode="External" /><Relationship Type="http://schemas.openxmlformats.org/officeDocument/2006/relationships/hyperlink" Id="rId87" Target="https://doi.org/10.1002/rra.1053" TargetMode="External" /><Relationship Type="http://schemas.openxmlformats.org/officeDocument/2006/relationships/hyperlink" Id="rId117" Target="https://doi.org/10.1007%2Fs00267-008-9151-1" TargetMode="External" /><Relationship Type="http://schemas.openxmlformats.org/officeDocument/2006/relationships/hyperlink" Id="rId81" Target="https://doi.org/10.1007/s10661-008-0256-z" TargetMode="External" /><Relationship Type="http://schemas.openxmlformats.org/officeDocument/2006/relationships/hyperlink" Id="rId141" Target="https://doi.org/10.1007/s10661-010-1385-8" TargetMode="External" /><Relationship Type="http://schemas.openxmlformats.org/officeDocument/2006/relationships/hyperlink" Id="rId121" Target="https://doi.org/10.1007/s10661-014-4086-x" TargetMode="External" /><Relationship Type="http://schemas.openxmlformats.org/officeDocument/2006/relationships/hyperlink" Id="rId73" Target="https://doi.org/10.1007/s10661-014-4132-8" TargetMode="External" /><Relationship Type="http://schemas.openxmlformats.org/officeDocument/2006/relationships/hyperlink" Id="rId100" Target="https://doi.org/10.1007/s10661-017-6025-0" TargetMode="External" /><Relationship Type="http://schemas.openxmlformats.org/officeDocument/2006/relationships/hyperlink" Id="rId83" Target="https://doi.org/10.1016/j.ecolind.2013.07.006" TargetMode="External" /><Relationship Type="http://schemas.openxmlformats.org/officeDocument/2006/relationships/hyperlink" Id="rId71" Target="https://doi.org/10.1016/j.landurbplan.2012.07.009" TargetMode="External" /><Relationship Type="http://schemas.openxmlformats.org/officeDocument/2006/relationships/hyperlink" Id="rId115" Target="https://doi.org/10.1016/j.scitotenv.2015.07.083" TargetMode="External" /><Relationship Type="http://schemas.openxmlformats.org/officeDocument/2006/relationships/hyperlink" Id="rId132" Target="https://doi.org/10.1016/j.watres.2004.09.002" TargetMode="External" /><Relationship Type="http://schemas.openxmlformats.org/officeDocument/2006/relationships/hyperlink" Id="rId155" Target="https://doi.org/10.1023/A:1023374524254" TargetMode="External" /><Relationship Type="http://schemas.openxmlformats.org/officeDocument/2006/relationships/hyperlink" Id="rId62" Target="https://doi.org/10.1046/j.1365-2427.1997.d01-546.x" TargetMode="External" /><Relationship Type="http://schemas.openxmlformats.org/officeDocument/2006/relationships/hyperlink" Id="rId143" Target="https://doi.org/10.1046/j.1365-2427.2001.00758.x" TargetMode="External" /><Relationship Type="http://schemas.openxmlformats.org/officeDocument/2006/relationships/hyperlink" Id="rId85" Target="https://doi.org/10.1086/678701" TargetMode="External" /><Relationship Type="http://schemas.openxmlformats.org/officeDocument/2006/relationships/hyperlink" Id="rId108" Target="https://doi.org/10.1086/697996" TargetMode="External" /><Relationship Type="http://schemas.openxmlformats.org/officeDocument/2006/relationships/hyperlink" Id="rId106" Target="https://doi.org/10.1111/1752-1688.12372" TargetMode="External" /><Relationship Type="http://schemas.openxmlformats.org/officeDocument/2006/relationships/hyperlink" Id="rId139" Target="https://doi.org/10.1111/gec3.12039" TargetMode="External" /><Relationship Type="http://schemas.openxmlformats.org/officeDocument/2006/relationships/hyperlink" Id="rId130" Target="https://doi.org/10.1111/j.1365-2427.1987.tb01027.x" TargetMode="External" /><Relationship Type="http://schemas.openxmlformats.org/officeDocument/2006/relationships/hyperlink" Id="rId91" Target="https://doi.org/10.1111/j.1365-2427.2011.02696.x" TargetMode="External" /><Relationship Type="http://schemas.openxmlformats.org/officeDocument/2006/relationships/hyperlink" Id="rId150" Target="https://doi.org/10.1111/j.1365-2664.2008.01548.x" TargetMode="External" /><Relationship Type="http://schemas.openxmlformats.org/officeDocument/2006/relationships/hyperlink" Id="rId79" Target="https://doi.org/10.1111/j.1526-100X.2007.00285.x" TargetMode="External" /><Relationship Type="http://schemas.openxmlformats.org/officeDocument/2006/relationships/hyperlink" Id="rId97" Target="https://doi.org/10.1111/j.1752-1688.2000.tb05717.x" TargetMode="External" /><Relationship Type="http://schemas.openxmlformats.org/officeDocument/2006/relationships/hyperlink" Id="rId113" Target="https://doi.org/10.1111/j.1752-1688.2011.00635.x" TargetMode="External" /><Relationship Type="http://schemas.openxmlformats.org/officeDocument/2006/relationships/hyperlink" Id="rId157" Target="https://doi.org/10.1111/jawr.12032" TargetMode="External" /><Relationship Type="http://schemas.openxmlformats.org/officeDocument/2006/relationships/hyperlink" Id="rId145" Target="https://doi.org/10.1111/jawr.12035" TargetMode="External" /><Relationship Type="http://schemas.openxmlformats.org/officeDocument/2006/relationships/hyperlink" Id="rId64" Target="https://doi.org/10.1146/annurev.ecolsys.35.120202.110122" TargetMode="External" /><Relationship Type="http://schemas.openxmlformats.org/officeDocument/2006/relationships/hyperlink" Id="rId159" Target="https://doi.org/10.1371/journal.pone.0090944" TargetMode="External" /><Relationship Type="http://schemas.openxmlformats.org/officeDocument/2006/relationships/hyperlink" Id="rId110" Target="https://doi.org/10.1371/journal.pone.0130710" TargetMode="External" /><Relationship Type="http://schemas.openxmlformats.org/officeDocument/2006/relationships/hyperlink" Id="rId161" Target="https://doi.org/10.1577/1548-8446(1997)022%3C0006:IOWLUO%3E2.0.CO;2" TargetMode="External" /><Relationship Type="http://schemas.openxmlformats.org/officeDocument/2006/relationships/hyperlink" Id="rId136" Target="https://doi.org/10.1890/11-0077.1" TargetMode="External" /><Relationship Type="http://schemas.openxmlformats.org/officeDocument/2006/relationships/hyperlink" Id="rId77" Target="https://doi.org/10.1899/06-078.1" TargetMode="External" /><Relationship Type="http://schemas.openxmlformats.org/officeDocument/2006/relationships/hyperlink" Id="rId89" Target="https://doi.org/10.1899/0887-3593(2004)023%3C0599:BWRSUO%3E2.0.CO;2" TargetMode="External" /><Relationship Type="http://schemas.openxmlformats.org/officeDocument/2006/relationships/hyperlink" Id="rId119"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48" Target="https://www.waterboards.ca.gov/water_issues/programs/swamp/qapp/swamp_QAPrP_2017_Final.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2018-07-20T23:27:38Z</dcterms:created>
  <dcterms:modified xsi:type="dcterms:W3CDTF">2018-07-20T23:27:38Z</dcterms:modified>
</cp:coreProperties>
</file>